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B41462">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560" w:lineRule="exact"/>
        <w:jc w:val="left"/>
        <w:textAlignment w:val="auto"/>
        <w:outlineLvl w:val="1"/>
        <w:rPr>
          <w:rFonts w:hint="eastAsia" w:ascii="仿宋_GB2312" w:hAnsi="仿宋_GB2312" w:eastAsia="仿宋_GB2312" w:cs="仿宋_GB2312"/>
          <w:color w:val="000000"/>
          <w:kern w:val="0"/>
          <w:sz w:val="32"/>
          <w:szCs w:val="32"/>
          <w:highlight w:val="none"/>
          <w:lang w:val="en-US" w:eastAsia="zh-CN" w:bidi="ar"/>
        </w:rPr>
      </w:pPr>
      <w:bookmarkStart w:id="0" w:name="_Toc29073"/>
      <w:r>
        <w:rPr>
          <w:rFonts w:hint="eastAsia" w:ascii="仿宋_GB2312" w:hAnsi="仿宋_GB2312" w:eastAsia="仿宋_GB2312" w:cs="仿宋_GB2312"/>
          <w:color w:val="000000"/>
          <w:kern w:val="0"/>
          <w:sz w:val="32"/>
          <w:szCs w:val="32"/>
          <w:highlight w:val="none"/>
          <w:lang w:val="en-US" w:eastAsia="zh-CN" w:bidi="ar"/>
        </w:rPr>
        <w:t>附件1：网络安全服务保密协议</w:t>
      </w:r>
      <w:bookmarkEnd w:id="0"/>
    </w:p>
    <w:p w14:paraId="259A1473">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560" w:lineRule="exact"/>
        <w:jc w:val="left"/>
        <w:textAlignment w:val="auto"/>
        <w:outlineLvl w:val="9"/>
        <w:rPr>
          <w:rFonts w:hint="default" w:ascii="仿宋_GB2312" w:hAnsi="仿宋_GB2312" w:eastAsia="仿宋_GB2312" w:cs="仿宋_GB2312"/>
          <w:color w:val="000000"/>
          <w:kern w:val="0"/>
          <w:sz w:val="32"/>
          <w:szCs w:val="32"/>
          <w:highlight w:val="none"/>
          <w:lang w:val="en-US" w:eastAsia="zh-CN" w:bidi="ar"/>
        </w:rPr>
      </w:pPr>
    </w:p>
    <w:p w14:paraId="429B17D3">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560" w:lineRule="exact"/>
        <w:jc w:val="center"/>
        <w:textAlignment w:val="auto"/>
        <w:outlineLvl w:val="9"/>
        <w:rPr>
          <w:rFonts w:hint="eastAsia" w:ascii="微软雅黑" w:hAnsi="微软雅黑" w:eastAsia="微软雅黑" w:cs="微软雅黑"/>
          <w:color w:val="000000"/>
          <w:kern w:val="0"/>
          <w:sz w:val="44"/>
          <w:szCs w:val="44"/>
          <w:highlight w:val="none"/>
          <w:lang w:val="en-US" w:eastAsia="zh-CN" w:bidi="ar"/>
        </w:rPr>
      </w:pPr>
      <w:r>
        <w:rPr>
          <w:rFonts w:hint="eastAsia" w:ascii="微软雅黑" w:hAnsi="微软雅黑" w:eastAsia="微软雅黑" w:cs="微软雅黑"/>
          <w:color w:val="000000"/>
          <w:kern w:val="0"/>
          <w:sz w:val="44"/>
          <w:szCs w:val="44"/>
          <w:highlight w:val="none"/>
          <w:lang w:val="en-US" w:eastAsia="zh-CN" w:bidi="ar"/>
        </w:rPr>
        <w:t>网络安全服务保密协议</w:t>
      </w:r>
    </w:p>
    <w:p w14:paraId="2464AA8A">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560" w:lineRule="exact"/>
        <w:jc w:val="left"/>
        <w:textAlignment w:val="auto"/>
        <w:outlineLvl w:val="9"/>
        <w:rPr>
          <w:rFonts w:hint="eastAsia" w:ascii="仿宋_GB2312" w:hAnsi="仿宋_GB2312" w:eastAsia="仿宋_GB2312" w:cs="仿宋_GB2312"/>
          <w:color w:val="000000"/>
          <w:kern w:val="0"/>
          <w:sz w:val="32"/>
          <w:szCs w:val="32"/>
          <w:highlight w:val="none"/>
          <w:lang w:val="en-US" w:eastAsia="zh-CN" w:bidi="ar"/>
        </w:rPr>
      </w:pPr>
    </w:p>
    <w:p w14:paraId="66A41546">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560" w:lineRule="exact"/>
        <w:jc w:val="left"/>
        <w:textAlignment w:val="auto"/>
        <w:outlineLvl w:val="9"/>
        <w:rPr>
          <w:rFonts w:hint="eastAsia"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color w:val="000000"/>
          <w:kern w:val="0"/>
          <w:sz w:val="32"/>
          <w:szCs w:val="32"/>
          <w:highlight w:val="none"/>
          <w:lang w:val="en-US" w:eastAsia="zh-CN" w:bidi="ar"/>
        </w:rPr>
        <w:t>甲方（服务接受方）：</w:t>
      </w:r>
    </w:p>
    <w:p w14:paraId="44DA2C01">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560" w:lineRule="exact"/>
        <w:jc w:val="left"/>
        <w:textAlignment w:val="auto"/>
        <w:outlineLvl w:val="9"/>
        <w:rPr>
          <w:rFonts w:hint="eastAsia"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color w:val="000000"/>
          <w:kern w:val="0"/>
          <w:sz w:val="32"/>
          <w:szCs w:val="32"/>
          <w:highlight w:val="none"/>
          <w:lang w:val="en-US" w:eastAsia="zh-CN" w:bidi="ar"/>
        </w:rPr>
        <w:t>乙方（服务提供方）：</w:t>
      </w:r>
    </w:p>
    <w:p w14:paraId="5CF58CF9">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560" w:lineRule="exact"/>
        <w:jc w:val="left"/>
        <w:textAlignment w:val="auto"/>
        <w:outlineLvl w:val="9"/>
        <w:rPr>
          <w:rFonts w:hint="eastAsia" w:ascii="仿宋_GB2312" w:hAnsi="仿宋_GB2312" w:eastAsia="仿宋_GB2312" w:cs="仿宋_GB2312"/>
          <w:color w:val="000000"/>
          <w:kern w:val="0"/>
          <w:sz w:val="32"/>
          <w:szCs w:val="32"/>
          <w:highlight w:val="none"/>
          <w:lang w:val="en-US" w:eastAsia="zh-CN" w:bidi="ar"/>
        </w:rPr>
      </w:pPr>
    </w:p>
    <w:p w14:paraId="292D8D54">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560" w:lineRule="exact"/>
        <w:ind w:firstLine="640" w:firstLineChars="200"/>
        <w:jc w:val="left"/>
        <w:textAlignment w:val="auto"/>
        <w:outlineLvl w:val="9"/>
        <w:rPr>
          <w:rFonts w:hint="eastAsia"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color w:val="000000"/>
          <w:kern w:val="0"/>
          <w:sz w:val="32"/>
          <w:szCs w:val="32"/>
          <w:highlight w:val="none"/>
          <w:lang w:val="en-US" w:eastAsia="zh-CN" w:bidi="ar"/>
        </w:rPr>
        <w:t>甲乙双方经友好协商，根据《</w:t>
      </w:r>
      <w:r>
        <w:rPr>
          <w:rFonts w:hint="default" w:ascii="仿宋_GB2312" w:hAnsi="仿宋_GB2312" w:eastAsia="仿宋_GB2312" w:cs="仿宋_GB2312"/>
          <w:color w:val="000000"/>
          <w:kern w:val="0"/>
          <w:sz w:val="32"/>
          <w:szCs w:val="32"/>
          <w:highlight w:val="none"/>
          <w:lang w:val="en-US" w:eastAsia="zh-CN" w:bidi="ar"/>
        </w:rPr>
        <w:t>中华人民共和国民法典</w:t>
      </w:r>
      <w:r>
        <w:rPr>
          <w:rFonts w:hint="eastAsia" w:ascii="仿宋_GB2312" w:hAnsi="仿宋_GB2312" w:eastAsia="仿宋_GB2312" w:cs="仿宋_GB2312"/>
          <w:color w:val="000000"/>
          <w:kern w:val="0"/>
          <w:sz w:val="32"/>
          <w:szCs w:val="32"/>
          <w:highlight w:val="none"/>
          <w:lang w:val="en-US" w:eastAsia="zh-CN" w:bidi="ar"/>
        </w:rPr>
        <w:t>》及相关法律法规的规定，就乙方在为甲方提供安全服务的过程中可能获悉的甲方保密信息及为甲方保密事宜，达成如下协议：</w:t>
      </w:r>
    </w:p>
    <w:p w14:paraId="78CC8BC0">
      <w:pPr>
        <w:keepNext w:val="0"/>
        <w:keepLines w:val="0"/>
        <w:pageBreakBefore w:val="0"/>
        <w:widowControl/>
        <w:numPr>
          <w:ilvl w:val="0"/>
          <w:numId w:val="0"/>
        </w:numPr>
        <w:suppressLineNumbers w:val="0"/>
        <w:kinsoku/>
        <w:wordWrap/>
        <w:overflowPunct/>
        <w:topLinePunct w:val="0"/>
        <w:autoSpaceDE/>
        <w:autoSpaceDN/>
        <w:bidi w:val="0"/>
        <w:adjustRightInd/>
        <w:snapToGrid/>
        <w:spacing w:before="157" w:beforeLines="50" w:after="157" w:afterLines="50" w:line="560" w:lineRule="exact"/>
        <w:ind w:firstLine="640" w:firstLineChars="200"/>
        <w:jc w:val="left"/>
        <w:textAlignment w:val="auto"/>
        <w:outlineLvl w:val="9"/>
        <w:rPr>
          <w:rFonts w:hint="eastAsia"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color w:val="000000"/>
          <w:kern w:val="0"/>
          <w:sz w:val="32"/>
          <w:szCs w:val="32"/>
          <w:highlight w:val="none"/>
          <w:lang w:val="en-US" w:eastAsia="zh-CN" w:bidi="ar"/>
        </w:rPr>
        <w:t>1.本协议所称“保密信息”是指：乙方基于为甲方提供安全服务所获取的甲方域名、业务系统等虚拟资产中所附带的或甲方安全设备上报的网络安全信息以及用户数据和业务相关信息等。</w:t>
      </w:r>
    </w:p>
    <w:p w14:paraId="7101BF55">
      <w:pPr>
        <w:keepNext w:val="0"/>
        <w:keepLines w:val="0"/>
        <w:pageBreakBefore w:val="0"/>
        <w:widowControl/>
        <w:numPr>
          <w:ilvl w:val="0"/>
          <w:numId w:val="0"/>
        </w:numPr>
        <w:suppressLineNumbers w:val="0"/>
        <w:kinsoku/>
        <w:wordWrap/>
        <w:overflowPunct/>
        <w:topLinePunct w:val="0"/>
        <w:autoSpaceDE/>
        <w:autoSpaceDN/>
        <w:bidi w:val="0"/>
        <w:adjustRightInd/>
        <w:snapToGrid/>
        <w:spacing w:before="157" w:beforeLines="50" w:after="157" w:afterLines="50" w:line="560" w:lineRule="exact"/>
        <w:ind w:firstLine="640" w:firstLineChars="200"/>
        <w:jc w:val="left"/>
        <w:textAlignment w:val="auto"/>
        <w:outlineLvl w:val="9"/>
        <w:rPr>
          <w:rFonts w:hint="default"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color w:val="000000"/>
          <w:kern w:val="0"/>
          <w:sz w:val="32"/>
          <w:szCs w:val="32"/>
          <w:highlight w:val="none"/>
          <w:lang w:val="en-US" w:eastAsia="zh-CN" w:bidi="ar"/>
        </w:rPr>
        <w:t>2.未经甲方书面同意，乙方不得以任何形式或任何方式将保密信息和/或其中任何部分，泄漏或透露给任何第三方。乙方有义务妥善保管保密信息，不得擅自复制备份，并应避免泄露或遗失。乙方亦不得依据保密信息，就任何问题，向任何与甲方所需安全服务无关的第三方做出任何建议。</w:t>
      </w:r>
    </w:p>
    <w:p w14:paraId="16955345">
      <w:pPr>
        <w:keepNext w:val="0"/>
        <w:keepLines w:val="0"/>
        <w:pageBreakBefore w:val="0"/>
        <w:widowControl/>
        <w:numPr>
          <w:ilvl w:val="0"/>
          <w:numId w:val="0"/>
        </w:numPr>
        <w:suppressLineNumbers w:val="0"/>
        <w:kinsoku/>
        <w:wordWrap/>
        <w:overflowPunct/>
        <w:topLinePunct w:val="0"/>
        <w:autoSpaceDE/>
        <w:autoSpaceDN/>
        <w:bidi w:val="0"/>
        <w:adjustRightInd/>
        <w:snapToGrid/>
        <w:spacing w:before="157" w:beforeLines="50" w:after="157" w:afterLines="50" w:line="560" w:lineRule="exact"/>
        <w:ind w:firstLine="640" w:firstLineChars="200"/>
        <w:jc w:val="left"/>
        <w:textAlignment w:val="auto"/>
        <w:outlineLvl w:val="9"/>
        <w:rPr>
          <w:rFonts w:hint="default"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color w:val="000000"/>
          <w:kern w:val="0"/>
          <w:sz w:val="32"/>
          <w:szCs w:val="32"/>
          <w:highlight w:val="none"/>
          <w:lang w:val="en-US" w:eastAsia="zh-CN" w:bidi="ar"/>
        </w:rPr>
        <w:t>3.甲方同意乙方有权因提供服务的必要，而向其安全服务人员透露或允许其接触保密信息和/或其中的任何部分，同时，乙方承诺该等服务人员在提供服务的过程中将对其所接触的保密信息承担与本协议同等的保密义务。</w:t>
      </w:r>
    </w:p>
    <w:p w14:paraId="4F87FEA9">
      <w:pPr>
        <w:keepNext w:val="0"/>
        <w:keepLines w:val="0"/>
        <w:pageBreakBefore w:val="0"/>
        <w:widowControl/>
        <w:numPr>
          <w:ilvl w:val="0"/>
          <w:numId w:val="0"/>
        </w:numPr>
        <w:suppressLineNumbers w:val="0"/>
        <w:kinsoku/>
        <w:wordWrap/>
        <w:overflowPunct/>
        <w:topLinePunct w:val="0"/>
        <w:autoSpaceDE/>
        <w:autoSpaceDN/>
        <w:bidi w:val="0"/>
        <w:adjustRightInd/>
        <w:snapToGrid/>
        <w:spacing w:before="157" w:beforeLines="50" w:after="157" w:afterLines="50" w:line="560" w:lineRule="exact"/>
        <w:ind w:firstLine="640" w:firstLineChars="200"/>
        <w:jc w:val="left"/>
        <w:textAlignment w:val="auto"/>
        <w:outlineLvl w:val="9"/>
        <w:rPr>
          <w:rFonts w:hint="default"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color w:val="000000"/>
          <w:kern w:val="0"/>
          <w:sz w:val="32"/>
          <w:szCs w:val="32"/>
          <w:highlight w:val="none"/>
          <w:lang w:val="en-US" w:eastAsia="zh-CN" w:bidi="ar"/>
        </w:rPr>
        <w:t>4.甲方有权在服务终止时要求乙方将所获悉的保密信息归还给甲方，不能归还的，应进行销毁处理。</w:t>
      </w:r>
    </w:p>
    <w:p w14:paraId="6DAD18F4">
      <w:pPr>
        <w:keepNext w:val="0"/>
        <w:keepLines w:val="0"/>
        <w:pageBreakBefore w:val="0"/>
        <w:widowControl/>
        <w:numPr>
          <w:ilvl w:val="0"/>
          <w:numId w:val="0"/>
        </w:numPr>
        <w:suppressLineNumbers w:val="0"/>
        <w:kinsoku/>
        <w:wordWrap/>
        <w:overflowPunct/>
        <w:topLinePunct w:val="0"/>
        <w:autoSpaceDE/>
        <w:autoSpaceDN/>
        <w:bidi w:val="0"/>
        <w:adjustRightInd/>
        <w:snapToGrid/>
        <w:spacing w:before="157" w:beforeLines="50" w:after="157" w:afterLines="50" w:line="560" w:lineRule="exact"/>
        <w:ind w:firstLine="640" w:firstLineChars="200"/>
        <w:jc w:val="left"/>
        <w:textAlignment w:val="auto"/>
        <w:outlineLvl w:val="9"/>
        <w:rPr>
          <w:rFonts w:hint="default"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color w:val="000000"/>
          <w:kern w:val="0"/>
          <w:sz w:val="32"/>
          <w:szCs w:val="32"/>
          <w:highlight w:val="none"/>
          <w:lang w:val="en-US" w:eastAsia="zh-CN" w:bidi="ar"/>
        </w:rPr>
        <w:t>5.凡因执行本协议所发生的或与本协议有关的一切争议，双方应通过友好协商解决。如果协商不能解决时，任何一方可向被告所在法院提请诉讼。</w:t>
      </w:r>
    </w:p>
    <w:p w14:paraId="52D06CFA">
      <w:pPr>
        <w:keepNext w:val="0"/>
        <w:keepLines w:val="0"/>
        <w:pageBreakBefore w:val="0"/>
        <w:widowControl/>
        <w:numPr>
          <w:ilvl w:val="0"/>
          <w:numId w:val="0"/>
        </w:numPr>
        <w:suppressLineNumbers w:val="0"/>
        <w:kinsoku/>
        <w:wordWrap/>
        <w:overflowPunct/>
        <w:topLinePunct w:val="0"/>
        <w:autoSpaceDE/>
        <w:autoSpaceDN/>
        <w:bidi w:val="0"/>
        <w:adjustRightInd/>
        <w:snapToGrid/>
        <w:spacing w:before="157" w:beforeLines="50" w:after="157" w:afterLines="50" w:line="560" w:lineRule="exact"/>
        <w:ind w:firstLine="640" w:firstLineChars="200"/>
        <w:jc w:val="left"/>
        <w:textAlignment w:val="auto"/>
        <w:outlineLvl w:val="9"/>
        <w:rPr>
          <w:rFonts w:hint="default"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color w:val="000000"/>
          <w:kern w:val="0"/>
          <w:sz w:val="32"/>
          <w:szCs w:val="32"/>
          <w:highlight w:val="none"/>
          <w:lang w:val="en-US" w:eastAsia="zh-CN" w:bidi="ar"/>
        </w:rPr>
        <w:t>6.本协议保密期限为整个安全服务期间以及服务期限截止后两年。</w:t>
      </w:r>
    </w:p>
    <w:p w14:paraId="32BB17E4">
      <w:pPr>
        <w:keepNext w:val="0"/>
        <w:keepLines w:val="0"/>
        <w:pageBreakBefore w:val="0"/>
        <w:widowControl/>
        <w:numPr>
          <w:ilvl w:val="0"/>
          <w:numId w:val="0"/>
        </w:numPr>
        <w:suppressLineNumbers w:val="0"/>
        <w:kinsoku/>
        <w:wordWrap/>
        <w:overflowPunct/>
        <w:topLinePunct w:val="0"/>
        <w:autoSpaceDE/>
        <w:autoSpaceDN/>
        <w:bidi w:val="0"/>
        <w:adjustRightInd/>
        <w:snapToGrid/>
        <w:spacing w:before="157" w:beforeLines="50" w:after="157" w:afterLines="50" w:line="560" w:lineRule="exact"/>
        <w:ind w:firstLine="640" w:firstLineChars="200"/>
        <w:jc w:val="left"/>
        <w:textAlignment w:val="auto"/>
        <w:outlineLvl w:val="9"/>
        <w:rPr>
          <w:rFonts w:hint="default"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color w:val="000000"/>
          <w:kern w:val="0"/>
          <w:sz w:val="32"/>
          <w:szCs w:val="32"/>
          <w:highlight w:val="none"/>
          <w:lang w:val="en-US" w:eastAsia="zh-CN" w:bidi="ar"/>
        </w:rPr>
        <w:t>7.本协议一式两份，自双方盖章之日起生效。</w:t>
      </w:r>
    </w:p>
    <w:p w14:paraId="4F2B86D4">
      <w:pPr>
        <w:keepNext w:val="0"/>
        <w:keepLines w:val="0"/>
        <w:pageBreakBefore w:val="0"/>
        <w:widowControl/>
        <w:numPr>
          <w:ilvl w:val="0"/>
          <w:numId w:val="0"/>
        </w:numPr>
        <w:suppressLineNumbers w:val="0"/>
        <w:kinsoku/>
        <w:wordWrap/>
        <w:overflowPunct/>
        <w:topLinePunct w:val="0"/>
        <w:autoSpaceDE/>
        <w:autoSpaceDN/>
        <w:bidi w:val="0"/>
        <w:adjustRightInd/>
        <w:snapToGrid/>
        <w:spacing w:before="157" w:beforeLines="50" w:after="157" w:afterLines="50" w:line="560" w:lineRule="exact"/>
        <w:ind w:left="1480" w:leftChars="0"/>
        <w:jc w:val="left"/>
        <w:textAlignment w:val="auto"/>
        <w:outlineLvl w:val="9"/>
        <w:rPr>
          <w:rFonts w:hint="eastAsia" w:ascii="仿宋_GB2312" w:hAnsi="仿宋_GB2312" w:eastAsia="仿宋_GB2312" w:cs="仿宋_GB2312"/>
          <w:color w:val="000000"/>
          <w:kern w:val="0"/>
          <w:sz w:val="32"/>
          <w:szCs w:val="32"/>
          <w:highlight w:val="none"/>
          <w:lang w:val="en-US" w:eastAsia="zh-CN" w:bidi="ar"/>
        </w:rPr>
      </w:pPr>
    </w:p>
    <w:p w14:paraId="1ABF1BF8">
      <w:pPr>
        <w:keepNext w:val="0"/>
        <w:keepLines w:val="0"/>
        <w:pageBreakBefore w:val="0"/>
        <w:widowControl/>
        <w:numPr>
          <w:ilvl w:val="0"/>
          <w:numId w:val="0"/>
        </w:numPr>
        <w:suppressLineNumbers w:val="0"/>
        <w:kinsoku/>
        <w:wordWrap/>
        <w:overflowPunct/>
        <w:topLinePunct w:val="0"/>
        <w:autoSpaceDE/>
        <w:autoSpaceDN/>
        <w:bidi w:val="0"/>
        <w:adjustRightInd/>
        <w:snapToGrid/>
        <w:spacing w:before="157" w:beforeLines="50" w:after="157" w:afterLines="50" w:line="560" w:lineRule="exact"/>
        <w:ind w:left="1480" w:leftChars="0"/>
        <w:jc w:val="left"/>
        <w:textAlignment w:val="auto"/>
        <w:outlineLvl w:val="9"/>
        <w:rPr>
          <w:rFonts w:hint="eastAsia" w:ascii="仿宋_GB2312" w:hAnsi="仿宋_GB2312" w:eastAsia="仿宋_GB2312" w:cs="仿宋_GB2312"/>
          <w:color w:val="000000"/>
          <w:kern w:val="0"/>
          <w:sz w:val="32"/>
          <w:szCs w:val="32"/>
          <w:highlight w:val="none"/>
          <w:lang w:val="en-US" w:eastAsia="zh-CN" w:bidi="ar"/>
        </w:rPr>
      </w:pPr>
    </w:p>
    <w:p w14:paraId="2AC9DD61">
      <w:pPr>
        <w:keepNext w:val="0"/>
        <w:keepLines w:val="0"/>
        <w:pageBreakBefore w:val="0"/>
        <w:widowControl/>
        <w:numPr>
          <w:ilvl w:val="0"/>
          <w:numId w:val="0"/>
        </w:numPr>
        <w:suppressLineNumbers w:val="0"/>
        <w:kinsoku/>
        <w:wordWrap/>
        <w:overflowPunct/>
        <w:topLinePunct w:val="0"/>
        <w:autoSpaceDE/>
        <w:autoSpaceDN/>
        <w:bidi w:val="0"/>
        <w:adjustRightInd/>
        <w:snapToGrid/>
        <w:spacing w:before="157" w:beforeLines="50" w:after="157" w:afterLines="50" w:line="560" w:lineRule="exact"/>
        <w:ind w:left="1480" w:leftChars="0"/>
        <w:jc w:val="left"/>
        <w:textAlignment w:val="auto"/>
        <w:outlineLvl w:val="9"/>
        <w:rPr>
          <w:rFonts w:hint="eastAsia"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color w:val="000000"/>
          <w:kern w:val="0"/>
          <w:sz w:val="32"/>
          <w:szCs w:val="32"/>
          <w:highlight w:val="none"/>
          <w:lang w:val="en-US" w:eastAsia="zh-CN" w:bidi="ar"/>
        </w:rPr>
        <w:t>甲方：                   乙方：</w:t>
      </w:r>
    </w:p>
    <w:p w14:paraId="66C94278">
      <w:pPr>
        <w:keepNext w:val="0"/>
        <w:keepLines w:val="0"/>
        <w:pageBreakBefore w:val="0"/>
        <w:widowControl/>
        <w:numPr>
          <w:ilvl w:val="0"/>
          <w:numId w:val="0"/>
        </w:numPr>
        <w:suppressLineNumbers w:val="0"/>
        <w:kinsoku/>
        <w:wordWrap/>
        <w:overflowPunct/>
        <w:topLinePunct w:val="0"/>
        <w:autoSpaceDE/>
        <w:autoSpaceDN/>
        <w:bidi w:val="0"/>
        <w:adjustRightInd/>
        <w:snapToGrid/>
        <w:spacing w:before="157" w:beforeLines="50" w:after="157" w:afterLines="50" w:line="560" w:lineRule="exact"/>
        <w:ind w:left="1480" w:leftChars="0"/>
        <w:jc w:val="left"/>
        <w:textAlignment w:val="auto"/>
        <w:outlineLvl w:val="9"/>
        <w:rPr>
          <w:rFonts w:hint="eastAsia"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color w:val="000000"/>
          <w:kern w:val="0"/>
          <w:sz w:val="32"/>
          <w:szCs w:val="32"/>
          <w:highlight w:val="none"/>
          <w:lang w:val="en-US" w:eastAsia="zh-CN" w:bidi="ar"/>
        </w:rPr>
        <w:t>（章印）                 （章印）</w:t>
      </w:r>
    </w:p>
    <w:p w14:paraId="3CB08973">
      <w:pPr>
        <w:keepNext w:val="0"/>
        <w:keepLines w:val="0"/>
        <w:pageBreakBefore w:val="0"/>
        <w:widowControl/>
        <w:numPr>
          <w:ilvl w:val="0"/>
          <w:numId w:val="0"/>
        </w:numPr>
        <w:suppressLineNumbers w:val="0"/>
        <w:kinsoku/>
        <w:wordWrap/>
        <w:overflowPunct/>
        <w:topLinePunct w:val="0"/>
        <w:autoSpaceDE/>
        <w:autoSpaceDN/>
        <w:bidi w:val="0"/>
        <w:adjustRightInd/>
        <w:snapToGrid/>
        <w:spacing w:before="157" w:beforeLines="50" w:after="157" w:afterLines="50" w:line="560" w:lineRule="exact"/>
        <w:ind w:left="1480" w:leftChars="0"/>
        <w:jc w:val="left"/>
        <w:textAlignment w:val="auto"/>
        <w:outlineLvl w:val="9"/>
        <w:rPr>
          <w:rFonts w:hint="default"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color w:val="000000"/>
          <w:kern w:val="0"/>
          <w:sz w:val="32"/>
          <w:szCs w:val="32"/>
          <w:highlight w:val="none"/>
          <w:lang w:val="en-US" w:eastAsia="zh-CN" w:bidi="ar"/>
        </w:rPr>
        <w:t>日期：                   日期：</w:t>
      </w:r>
    </w:p>
    <w:p w14:paraId="29E50F28">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1923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2025-06-03T01:50:34Z</dcterms:created>
  <dc:creator>TangSuHan</dc:creator>
  <cp:lastModifiedBy>积分法</cp:lastModifiedBy>
  <dcterms:modified xsi:type="dcterms:W3CDTF">2025-06-03T01:50:39Z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KSOTemplateDocerSaveRecord">
    <vt:lpwstr>eyJoZGlkIjoiZDllMDMyNmJlNjY3M2Q5YzkyY2MwMzBhNTZhYjY2NWYiLCJ1c2VySWQiOiIyNzI0NjE0MDQifQ==</vt:lpwstr>
  </property>
  <property fmtid="{D5CDD505-2E9C-101B-9397-08002B2CF9AE}" pid="4" name="ICV">
    <vt:lpwstr>B13923A3140F485CBC808FD14B70687E_12</vt:lpwstr>
  </property>
</Properties>
</file>